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B23" w:rsidRPr="001D7B23" w:rsidRDefault="001D7B23" w:rsidP="001D7B23">
      <w:pPr>
        <w:rPr>
          <w:rFonts w:ascii="Arial" w:hAnsi="Arial" w:cs="Arial"/>
          <w:sz w:val="18"/>
          <w:szCs w:val="18"/>
        </w:rPr>
      </w:pPr>
      <w:r w:rsidRPr="001D7B23">
        <w:rPr>
          <w:rFonts w:ascii="Arial" w:hAnsi="Arial" w:cs="Arial"/>
          <w:sz w:val="18"/>
          <w:szCs w:val="18"/>
        </w:rPr>
        <w:t xml:space="preserve">Last Updated: </w:t>
      </w:r>
      <w:r w:rsidR="006A5F02">
        <w:rPr>
          <w:rFonts w:ascii="Arial" w:hAnsi="Arial" w:cs="Arial"/>
          <w:sz w:val="18"/>
          <w:szCs w:val="18"/>
        </w:rPr>
        <w:t>August 2018</w:t>
      </w:r>
    </w:p>
    <w:p w:rsidR="001D7B23" w:rsidRDefault="001D7B23" w:rsidP="001D7B23">
      <w:pPr>
        <w:rPr>
          <w:rFonts w:ascii="Arial" w:hAnsi="Arial" w:cs="Arial"/>
          <w:b/>
          <w:u w:val="single"/>
        </w:rPr>
      </w:pPr>
    </w:p>
    <w:p w:rsidR="00F44C5D" w:rsidRPr="001D7B23" w:rsidRDefault="00477EBE" w:rsidP="001D7B23">
      <w:pPr>
        <w:jc w:val="center"/>
        <w:rPr>
          <w:rFonts w:ascii="Arial" w:hAnsi="Arial" w:cs="Arial"/>
          <w:b/>
          <w:u w:val="single"/>
        </w:rPr>
      </w:pPr>
      <w:r w:rsidRPr="00F720E5">
        <w:rPr>
          <w:rFonts w:ascii="Arial" w:hAnsi="Arial" w:cs="Arial"/>
          <w:b/>
          <w:u w:val="single"/>
        </w:rPr>
        <w:t>Design and Delivery Framework</w:t>
      </w:r>
    </w:p>
    <w:p w:rsidR="001D7B23" w:rsidRPr="001D7B23" w:rsidRDefault="001D7B23" w:rsidP="001D7B23">
      <w:pPr>
        <w:jc w:val="center"/>
        <w:rPr>
          <w:rFonts w:ascii="Arial" w:hAnsi="Arial" w:cs="Arial"/>
          <w:b/>
        </w:rPr>
      </w:pPr>
      <w:r w:rsidRPr="001D7B23">
        <w:rPr>
          <w:rFonts w:ascii="Arial" w:hAnsi="Arial" w:cs="Arial"/>
          <w:b/>
        </w:rPr>
        <w:t>The Roehampton Academic O</w:t>
      </w:r>
      <w:r w:rsidR="005228D3" w:rsidRPr="001D7B23">
        <w:rPr>
          <w:rFonts w:ascii="Arial" w:hAnsi="Arial" w:cs="Arial"/>
          <w:b/>
        </w:rPr>
        <w:t xml:space="preserve">ffer: </w:t>
      </w:r>
      <w:r w:rsidR="009656B6" w:rsidRPr="001D7B23">
        <w:rPr>
          <w:rFonts w:ascii="Arial" w:hAnsi="Arial" w:cs="Arial"/>
          <w:b/>
        </w:rPr>
        <w:t>T</w:t>
      </w:r>
      <w:r w:rsidR="005228D3" w:rsidRPr="001D7B23">
        <w:rPr>
          <w:rFonts w:ascii="Arial" w:hAnsi="Arial" w:cs="Arial"/>
          <w:b/>
        </w:rPr>
        <w:t xml:space="preserve">he </w:t>
      </w:r>
      <w:r w:rsidRPr="001D7B23">
        <w:rPr>
          <w:rFonts w:ascii="Arial" w:hAnsi="Arial" w:cs="Arial"/>
          <w:b/>
        </w:rPr>
        <w:t>Delivery Framework for Undergraduate P</w:t>
      </w:r>
      <w:r w:rsidR="008E339B" w:rsidRPr="001D7B23">
        <w:rPr>
          <w:rFonts w:ascii="Arial" w:hAnsi="Arial" w:cs="Arial"/>
          <w:b/>
        </w:rPr>
        <w:t>rogrammes</w:t>
      </w:r>
    </w:p>
    <w:p w:rsidR="001D7B23" w:rsidRDefault="001D7B23" w:rsidP="00F44C5D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4D45CE" w:rsidRPr="00F720E5" w:rsidRDefault="00076D8B" w:rsidP="00F44C5D">
      <w:pPr>
        <w:jc w:val="both"/>
        <w:rPr>
          <w:rFonts w:ascii="Arial" w:hAnsi="Arial" w:cs="Arial"/>
          <w:b/>
        </w:rPr>
      </w:pPr>
      <w:r w:rsidRPr="00F720E5">
        <w:rPr>
          <w:rFonts w:ascii="Arial" w:hAnsi="Arial" w:cs="Arial"/>
          <w:b/>
        </w:rPr>
        <w:t>Introduction</w:t>
      </w:r>
    </w:p>
    <w:p w:rsidR="004D45CE" w:rsidRPr="00F720E5" w:rsidRDefault="00184E0F" w:rsidP="00F44C5D">
      <w:pPr>
        <w:jc w:val="both"/>
        <w:rPr>
          <w:rFonts w:ascii="Arial" w:hAnsi="Arial" w:cs="Arial"/>
        </w:rPr>
      </w:pPr>
      <w:r w:rsidRPr="00F720E5">
        <w:rPr>
          <w:rFonts w:ascii="Arial" w:hAnsi="Arial" w:cs="Arial"/>
        </w:rPr>
        <w:t xml:space="preserve">This delivery framework should be used in the </w:t>
      </w:r>
      <w:r w:rsidR="004D45CE" w:rsidRPr="00F720E5">
        <w:rPr>
          <w:rFonts w:ascii="Arial" w:hAnsi="Arial" w:cs="Arial"/>
        </w:rPr>
        <w:t xml:space="preserve">design and </w:t>
      </w:r>
      <w:r w:rsidRPr="00F720E5">
        <w:rPr>
          <w:rFonts w:ascii="Arial" w:hAnsi="Arial" w:cs="Arial"/>
        </w:rPr>
        <w:t>development of all new undergraduate programmes</w:t>
      </w:r>
      <w:r w:rsidR="00F10A6F" w:rsidRPr="00F720E5">
        <w:rPr>
          <w:rFonts w:ascii="Arial" w:hAnsi="Arial" w:cs="Arial"/>
        </w:rPr>
        <w:t>, as well as</w:t>
      </w:r>
      <w:r w:rsidRPr="00F720E5">
        <w:rPr>
          <w:rFonts w:ascii="Arial" w:hAnsi="Arial" w:cs="Arial"/>
        </w:rPr>
        <w:t xml:space="preserve"> in the review and revalidation of existing programmes</w:t>
      </w:r>
      <w:r w:rsidR="009F21E1" w:rsidRPr="00F720E5">
        <w:rPr>
          <w:rFonts w:ascii="Arial" w:hAnsi="Arial" w:cs="Arial"/>
        </w:rPr>
        <w:t xml:space="preserve"> during periodic review</w:t>
      </w:r>
      <w:r w:rsidRPr="00F720E5">
        <w:rPr>
          <w:rFonts w:ascii="Arial" w:hAnsi="Arial" w:cs="Arial"/>
        </w:rPr>
        <w:t xml:space="preserve">. </w:t>
      </w:r>
      <w:r w:rsidR="004D45CE" w:rsidRPr="00F720E5">
        <w:rPr>
          <w:rFonts w:ascii="Arial" w:hAnsi="Arial" w:cs="Arial"/>
        </w:rPr>
        <w:t xml:space="preserve">It should be </w:t>
      </w:r>
      <w:r w:rsidR="009656B6" w:rsidRPr="00F720E5">
        <w:rPr>
          <w:rFonts w:ascii="Arial" w:hAnsi="Arial" w:cs="Arial"/>
        </w:rPr>
        <w:t>read</w:t>
      </w:r>
      <w:r w:rsidR="004D45CE" w:rsidRPr="00F720E5">
        <w:rPr>
          <w:rFonts w:ascii="Arial" w:hAnsi="Arial" w:cs="Arial"/>
        </w:rPr>
        <w:t xml:space="preserve"> alongside the Quality Code, in particular, part B on assuring and enhancing academic quality.</w:t>
      </w:r>
      <w:r w:rsidR="004D45CE" w:rsidRPr="00F720E5">
        <w:rPr>
          <w:rStyle w:val="FootnoteReference"/>
          <w:rFonts w:ascii="Arial" w:hAnsi="Arial" w:cs="Arial"/>
        </w:rPr>
        <w:footnoteReference w:id="1"/>
      </w:r>
      <w:r w:rsidR="004D45CE" w:rsidRPr="00F720E5">
        <w:rPr>
          <w:rFonts w:ascii="Arial" w:hAnsi="Arial" w:cs="Arial"/>
        </w:rPr>
        <w:t xml:space="preserve"> </w:t>
      </w:r>
      <w:r w:rsidR="009778D7" w:rsidRPr="00F720E5">
        <w:rPr>
          <w:rFonts w:ascii="Arial" w:hAnsi="Arial" w:cs="Arial"/>
        </w:rPr>
        <w:t xml:space="preserve">The framework sets out </w:t>
      </w:r>
      <w:r w:rsidR="00C4253F" w:rsidRPr="00F720E5">
        <w:rPr>
          <w:rFonts w:ascii="Arial" w:hAnsi="Arial" w:cs="Arial"/>
        </w:rPr>
        <w:t xml:space="preserve">certain important aspects of </w:t>
      </w:r>
      <w:r w:rsidR="009778D7" w:rsidRPr="00F720E5">
        <w:rPr>
          <w:rFonts w:ascii="Arial" w:hAnsi="Arial" w:cs="Arial"/>
        </w:rPr>
        <w:t>how we should delivery programmes at Roehampton</w:t>
      </w:r>
      <w:r w:rsidR="009656B6" w:rsidRPr="00F720E5">
        <w:rPr>
          <w:rFonts w:ascii="Arial" w:hAnsi="Arial" w:cs="Arial"/>
        </w:rPr>
        <w:t xml:space="preserve"> as part of our academic offer to students</w:t>
      </w:r>
      <w:r w:rsidR="00C4253F" w:rsidRPr="00F720E5">
        <w:rPr>
          <w:rFonts w:ascii="Arial" w:hAnsi="Arial" w:cs="Arial"/>
        </w:rPr>
        <w:t>.</w:t>
      </w:r>
      <w:r w:rsidR="009778D7" w:rsidRPr="00F720E5">
        <w:rPr>
          <w:rFonts w:ascii="Arial" w:hAnsi="Arial" w:cs="Arial"/>
        </w:rPr>
        <w:t xml:space="preserve"> </w:t>
      </w:r>
      <w:r w:rsidR="00470C38" w:rsidRPr="00F720E5">
        <w:rPr>
          <w:rFonts w:ascii="Arial" w:hAnsi="Arial" w:cs="Arial"/>
        </w:rPr>
        <w:t>The aims of</w:t>
      </w:r>
      <w:r w:rsidR="004D45CE" w:rsidRPr="00F720E5">
        <w:rPr>
          <w:rFonts w:ascii="Arial" w:hAnsi="Arial" w:cs="Arial"/>
        </w:rPr>
        <w:t xml:space="preserve"> the framework are</w:t>
      </w:r>
      <w:r w:rsidR="00470C38" w:rsidRPr="00F720E5">
        <w:rPr>
          <w:rFonts w:ascii="Arial" w:hAnsi="Arial" w:cs="Arial"/>
        </w:rPr>
        <w:t>:</w:t>
      </w:r>
      <w:r w:rsidR="004D45CE" w:rsidRPr="00F720E5">
        <w:rPr>
          <w:rFonts w:ascii="Arial" w:hAnsi="Arial" w:cs="Arial"/>
        </w:rPr>
        <w:t xml:space="preserve"> to create a more consistent Roehampton academic offer; to underpin fairness for students across all programmes</w:t>
      </w:r>
      <w:r w:rsidR="007D605C" w:rsidRPr="00F720E5">
        <w:rPr>
          <w:rFonts w:ascii="Arial" w:hAnsi="Arial" w:cs="Arial"/>
        </w:rPr>
        <w:t xml:space="preserve"> (wherever the course is delivered)</w:t>
      </w:r>
      <w:r w:rsidR="004D45CE" w:rsidRPr="00F720E5">
        <w:rPr>
          <w:rFonts w:ascii="Arial" w:hAnsi="Arial" w:cs="Arial"/>
        </w:rPr>
        <w:t>; to ensure that programmes are delivered in an efficient and effective way</w:t>
      </w:r>
      <w:r w:rsidR="00350F48" w:rsidRPr="00F720E5">
        <w:rPr>
          <w:rFonts w:ascii="Arial" w:hAnsi="Arial" w:cs="Arial"/>
        </w:rPr>
        <w:t xml:space="preserve">; </w:t>
      </w:r>
      <w:r w:rsidR="00A8644C" w:rsidRPr="00F720E5">
        <w:rPr>
          <w:rFonts w:ascii="Arial" w:hAnsi="Arial" w:cs="Arial"/>
        </w:rPr>
        <w:t xml:space="preserve">and </w:t>
      </w:r>
      <w:r w:rsidR="00350F48" w:rsidRPr="00F720E5">
        <w:rPr>
          <w:rFonts w:ascii="Arial" w:hAnsi="Arial" w:cs="Arial"/>
        </w:rPr>
        <w:t>to contribute to transparent and fair workload allocations</w:t>
      </w:r>
      <w:r w:rsidR="004D45CE" w:rsidRPr="00F720E5">
        <w:rPr>
          <w:rFonts w:ascii="Arial" w:hAnsi="Arial" w:cs="Arial"/>
        </w:rPr>
        <w:t xml:space="preserve">. </w:t>
      </w:r>
      <w:r w:rsidR="009F21E1" w:rsidRPr="00F720E5">
        <w:rPr>
          <w:rFonts w:ascii="Arial" w:hAnsi="Arial" w:cs="Arial"/>
        </w:rPr>
        <w:t>Programmes not currently going through revalidation should be working towards complying with this framework.</w:t>
      </w:r>
    </w:p>
    <w:p w:rsidR="00184E0F" w:rsidRPr="00F720E5" w:rsidRDefault="00060D3B" w:rsidP="00F44C5D">
      <w:pPr>
        <w:jc w:val="both"/>
        <w:rPr>
          <w:rFonts w:ascii="Arial" w:hAnsi="Arial" w:cs="Arial"/>
          <w:b/>
        </w:rPr>
      </w:pPr>
      <w:r w:rsidRPr="00F720E5">
        <w:rPr>
          <w:rFonts w:ascii="Arial" w:hAnsi="Arial" w:cs="Arial"/>
          <w:b/>
        </w:rPr>
        <w:t>The framework</w:t>
      </w:r>
      <w:r w:rsidR="00184E0F" w:rsidRPr="00F720E5">
        <w:rPr>
          <w:rFonts w:ascii="Arial" w:hAnsi="Arial" w:cs="Arial"/>
          <w:b/>
        </w:rPr>
        <w:t xml:space="preserve"> </w:t>
      </w:r>
    </w:p>
    <w:p w:rsidR="007E3ED4" w:rsidRPr="00F720E5" w:rsidRDefault="007E3ED4" w:rsidP="00F44C5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720E5">
        <w:rPr>
          <w:rFonts w:ascii="Arial" w:hAnsi="Arial" w:cs="Arial"/>
        </w:rPr>
        <w:t>The standard module</w:t>
      </w:r>
      <w:r w:rsidR="00371223" w:rsidRPr="00F720E5">
        <w:rPr>
          <w:rFonts w:ascii="Arial" w:hAnsi="Arial" w:cs="Arial"/>
        </w:rPr>
        <w:t>, including option modules,</w:t>
      </w:r>
      <w:r w:rsidRPr="00F720E5">
        <w:rPr>
          <w:rFonts w:ascii="Arial" w:hAnsi="Arial" w:cs="Arial"/>
        </w:rPr>
        <w:t xml:space="preserve"> is 20 credits</w:t>
      </w:r>
      <w:r w:rsidR="00F10A6F" w:rsidRPr="00F720E5">
        <w:rPr>
          <w:rFonts w:ascii="Arial" w:hAnsi="Arial" w:cs="Arial"/>
        </w:rPr>
        <w:t xml:space="preserve"> (or multiples of)</w:t>
      </w:r>
      <w:r w:rsidRPr="00F720E5">
        <w:rPr>
          <w:rFonts w:ascii="Arial" w:hAnsi="Arial" w:cs="Arial"/>
        </w:rPr>
        <w:t>.</w:t>
      </w:r>
    </w:p>
    <w:p w:rsidR="008D6287" w:rsidRPr="00F720E5" w:rsidRDefault="007E3ED4" w:rsidP="00F44C5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720E5">
        <w:rPr>
          <w:rFonts w:ascii="Arial" w:hAnsi="Arial" w:cs="Arial"/>
        </w:rPr>
        <w:t>As standard practice, p</w:t>
      </w:r>
      <w:r w:rsidR="008E339B" w:rsidRPr="00F720E5">
        <w:rPr>
          <w:rFonts w:ascii="Arial" w:hAnsi="Arial" w:cs="Arial"/>
        </w:rPr>
        <w:t xml:space="preserve">rogrammes should be designed around six 20 credit </w:t>
      </w:r>
      <w:r w:rsidR="00B41640" w:rsidRPr="00F720E5">
        <w:rPr>
          <w:rFonts w:ascii="Arial" w:hAnsi="Arial" w:cs="Arial"/>
        </w:rPr>
        <w:t>semester</w:t>
      </w:r>
      <w:r w:rsidR="008E339B" w:rsidRPr="00F720E5">
        <w:rPr>
          <w:rFonts w:ascii="Arial" w:hAnsi="Arial" w:cs="Arial"/>
        </w:rPr>
        <w:t>-long modules</w:t>
      </w:r>
      <w:r w:rsidR="000C0F14" w:rsidRPr="00F720E5">
        <w:rPr>
          <w:rFonts w:ascii="Arial" w:hAnsi="Arial" w:cs="Arial"/>
        </w:rPr>
        <w:t xml:space="preserve"> each year</w:t>
      </w:r>
      <w:r w:rsidRPr="00F720E5">
        <w:rPr>
          <w:rFonts w:ascii="Arial" w:hAnsi="Arial" w:cs="Arial"/>
        </w:rPr>
        <w:t>. At level 6</w:t>
      </w:r>
      <w:r w:rsidR="00DA692F" w:rsidRPr="00F720E5">
        <w:rPr>
          <w:rFonts w:ascii="Arial" w:hAnsi="Arial" w:cs="Arial"/>
        </w:rPr>
        <w:t xml:space="preserve">, </w:t>
      </w:r>
      <w:r w:rsidRPr="00F720E5">
        <w:rPr>
          <w:rFonts w:ascii="Arial" w:hAnsi="Arial" w:cs="Arial"/>
        </w:rPr>
        <w:t xml:space="preserve">it is likely that </w:t>
      </w:r>
      <w:r w:rsidR="00DA692F" w:rsidRPr="00F720E5">
        <w:rPr>
          <w:rFonts w:ascii="Arial" w:hAnsi="Arial" w:cs="Arial"/>
        </w:rPr>
        <w:t>dissertation</w:t>
      </w:r>
      <w:r w:rsidRPr="00F720E5">
        <w:rPr>
          <w:rFonts w:ascii="Arial" w:hAnsi="Arial" w:cs="Arial"/>
        </w:rPr>
        <w:t>s and other independent study modules will be run as year-long 40 credit modules</w:t>
      </w:r>
      <w:r w:rsidR="008E339B" w:rsidRPr="00F720E5">
        <w:rPr>
          <w:rFonts w:ascii="Arial" w:hAnsi="Arial" w:cs="Arial"/>
        </w:rPr>
        <w:t>.</w:t>
      </w:r>
      <w:r w:rsidR="00B449F1" w:rsidRPr="00F720E5">
        <w:rPr>
          <w:rFonts w:ascii="Arial" w:hAnsi="Arial" w:cs="Arial"/>
        </w:rPr>
        <w:t xml:space="preserve"> </w:t>
      </w:r>
      <w:r w:rsidR="008D6287" w:rsidRPr="00F720E5">
        <w:rPr>
          <w:rFonts w:ascii="Arial" w:hAnsi="Arial" w:cs="Arial"/>
        </w:rPr>
        <w:lastRenderedPageBreak/>
        <w:t xml:space="preserve">Curriculum design may </w:t>
      </w:r>
      <w:r w:rsidR="00DC647E" w:rsidRPr="00F720E5">
        <w:rPr>
          <w:rFonts w:ascii="Arial" w:hAnsi="Arial" w:cs="Arial"/>
        </w:rPr>
        <w:t xml:space="preserve">integrate for learning and teaching purposes </w:t>
      </w:r>
      <w:r w:rsidR="00B41640" w:rsidRPr="00F720E5">
        <w:rPr>
          <w:rFonts w:ascii="Arial" w:hAnsi="Arial" w:cs="Arial"/>
        </w:rPr>
        <w:t>semester</w:t>
      </w:r>
      <w:r w:rsidR="00DC647E" w:rsidRPr="00F720E5">
        <w:rPr>
          <w:rFonts w:ascii="Arial" w:hAnsi="Arial" w:cs="Arial"/>
        </w:rPr>
        <w:t>-long 20 credit modules into notional year-long 40 credit module</w:t>
      </w:r>
      <w:r w:rsidR="005E580B" w:rsidRPr="00F720E5">
        <w:rPr>
          <w:rFonts w:ascii="Arial" w:hAnsi="Arial" w:cs="Arial"/>
        </w:rPr>
        <w:t>s</w:t>
      </w:r>
      <w:r w:rsidR="00DC647E" w:rsidRPr="00F720E5">
        <w:rPr>
          <w:rFonts w:ascii="Arial" w:hAnsi="Arial" w:cs="Arial"/>
        </w:rPr>
        <w:t xml:space="preserve"> but the two parts of the module are best left as discrete 20 credit modules for registration and assessment purposes.</w:t>
      </w:r>
    </w:p>
    <w:p w:rsidR="008D6287" w:rsidRPr="00F720E5" w:rsidRDefault="008E339B" w:rsidP="00F44C5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720E5">
        <w:rPr>
          <w:rFonts w:ascii="Arial" w:hAnsi="Arial" w:cs="Arial"/>
        </w:rPr>
        <w:t>Programmes should be designed in such a way as to allow s</w:t>
      </w:r>
      <w:r w:rsidR="00FE4D87" w:rsidRPr="00F720E5">
        <w:rPr>
          <w:rFonts w:ascii="Arial" w:hAnsi="Arial" w:cs="Arial"/>
        </w:rPr>
        <w:t xml:space="preserve">tudents to opt for study abroad </w:t>
      </w:r>
      <w:r w:rsidRPr="00F720E5">
        <w:rPr>
          <w:rFonts w:ascii="Arial" w:hAnsi="Arial" w:cs="Arial"/>
        </w:rPr>
        <w:t>in year 2</w:t>
      </w:r>
      <w:r w:rsidR="00B41640" w:rsidRPr="00F720E5">
        <w:rPr>
          <w:rFonts w:ascii="Arial" w:hAnsi="Arial" w:cs="Arial"/>
        </w:rPr>
        <w:t xml:space="preserve"> (semester or year-long) as part of a broader internationalisation of the curriculum</w:t>
      </w:r>
      <w:r w:rsidRPr="00F720E5">
        <w:rPr>
          <w:rFonts w:ascii="Arial" w:hAnsi="Arial" w:cs="Arial"/>
        </w:rPr>
        <w:t>.</w:t>
      </w:r>
      <w:r w:rsidR="008D6287" w:rsidRPr="00F720E5">
        <w:rPr>
          <w:rFonts w:ascii="Arial" w:hAnsi="Arial" w:cs="Arial"/>
        </w:rPr>
        <w:t xml:space="preserve"> </w:t>
      </w:r>
      <w:r w:rsidR="006035F9" w:rsidRPr="00F720E5">
        <w:rPr>
          <w:rFonts w:ascii="Arial" w:hAnsi="Arial" w:cs="Arial"/>
        </w:rPr>
        <w:t xml:space="preserve"> </w:t>
      </w:r>
    </w:p>
    <w:p w:rsidR="00E00A80" w:rsidRPr="00F720E5" w:rsidRDefault="00647DDF" w:rsidP="00F44C5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720E5">
        <w:rPr>
          <w:rFonts w:ascii="Arial" w:hAnsi="Arial" w:cs="Arial"/>
        </w:rPr>
        <w:t>Generally,</w:t>
      </w:r>
      <w:r w:rsidR="003E479A" w:rsidRPr="00F720E5">
        <w:rPr>
          <w:rFonts w:ascii="Arial" w:hAnsi="Arial" w:cs="Arial"/>
        </w:rPr>
        <w:t xml:space="preserve"> no module should run with fewer than </w:t>
      </w:r>
      <w:r w:rsidR="00950B97" w:rsidRPr="00F720E5">
        <w:rPr>
          <w:rFonts w:ascii="Arial" w:hAnsi="Arial" w:cs="Arial"/>
        </w:rPr>
        <w:t>20</w:t>
      </w:r>
      <w:r w:rsidR="003E479A" w:rsidRPr="00F720E5">
        <w:rPr>
          <w:rFonts w:ascii="Arial" w:hAnsi="Arial" w:cs="Arial"/>
        </w:rPr>
        <w:t xml:space="preserve"> students</w:t>
      </w:r>
      <w:r w:rsidR="00307161" w:rsidRPr="00F720E5">
        <w:rPr>
          <w:rFonts w:ascii="Arial" w:hAnsi="Arial" w:cs="Arial"/>
        </w:rPr>
        <w:t>. P</w:t>
      </w:r>
      <w:r w:rsidR="002E7E65" w:rsidRPr="00F720E5">
        <w:rPr>
          <w:rFonts w:ascii="Arial" w:hAnsi="Arial" w:cs="Arial"/>
        </w:rPr>
        <w:t xml:space="preserve">rogrammes should </w:t>
      </w:r>
      <w:r w:rsidR="00D75535" w:rsidRPr="00F720E5">
        <w:rPr>
          <w:rFonts w:ascii="Arial" w:hAnsi="Arial" w:cs="Arial"/>
        </w:rPr>
        <w:t xml:space="preserve">minimise </w:t>
      </w:r>
      <w:r w:rsidR="002E7E65" w:rsidRPr="00F720E5">
        <w:rPr>
          <w:rFonts w:ascii="Arial" w:hAnsi="Arial" w:cs="Arial"/>
        </w:rPr>
        <w:t xml:space="preserve">the likelihood of modules </w:t>
      </w:r>
      <w:r w:rsidR="00D77E31" w:rsidRPr="00F720E5">
        <w:rPr>
          <w:rFonts w:ascii="Arial" w:hAnsi="Arial" w:cs="Arial"/>
        </w:rPr>
        <w:t xml:space="preserve">running </w:t>
      </w:r>
      <w:r w:rsidR="002E7E65" w:rsidRPr="00F720E5">
        <w:rPr>
          <w:rFonts w:ascii="Arial" w:hAnsi="Arial" w:cs="Arial"/>
        </w:rPr>
        <w:t xml:space="preserve">with fewer than </w:t>
      </w:r>
      <w:r w:rsidR="00950B97" w:rsidRPr="00F720E5">
        <w:rPr>
          <w:rFonts w:ascii="Arial" w:hAnsi="Arial" w:cs="Arial"/>
        </w:rPr>
        <w:t>20</w:t>
      </w:r>
      <w:r w:rsidR="002E7E65" w:rsidRPr="00F720E5">
        <w:rPr>
          <w:rFonts w:ascii="Arial" w:hAnsi="Arial" w:cs="Arial"/>
        </w:rPr>
        <w:t xml:space="preserve"> stude</w:t>
      </w:r>
      <w:r w:rsidR="00D75535" w:rsidRPr="00F720E5">
        <w:rPr>
          <w:rFonts w:ascii="Arial" w:hAnsi="Arial" w:cs="Arial"/>
        </w:rPr>
        <w:t xml:space="preserve">nts </w:t>
      </w:r>
      <w:r w:rsidR="002E7E65" w:rsidRPr="00F720E5">
        <w:rPr>
          <w:rFonts w:ascii="Arial" w:hAnsi="Arial" w:cs="Arial"/>
        </w:rPr>
        <w:t>by managing optionality</w:t>
      </w:r>
      <w:r w:rsidR="00D77E31" w:rsidRPr="00F720E5">
        <w:rPr>
          <w:rFonts w:ascii="Arial" w:hAnsi="Arial" w:cs="Arial"/>
        </w:rPr>
        <w:t xml:space="preserve"> </w:t>
      </w:r>
      <w:r w:rsidR="007E3ED4" w:rsidRPr="00F720E5">
        <w:rPr>
          <w:rFonts w:ascii="Arial" w:hAnsi="Arial" w:cs="Arial"/>
        </w:rPr>
        <w:t>a</w:t>
      </w:r>
      <w:r w:rsidR="00307161" w:rsidRPr="00F720E5">
        <w:rPr>
          <w:rFonts w:ascii="Arial" w:hAnsi="Arial" w:cs="Arial"/>
        </w:rPr>
        <w:t>s part of their annual cycle of programme monitoring and review</w:t>
      </w:r>
      <w:r w:rsidR="003E479A" w:rsidRPr="00F720E5">
        <w:rPr>
          <w:rFonts w:ascii="Arial" w:hAnsi="Arial" w:cs="Arial"/>
        </w:rPr>
        <w:t>.</w:t>
      </w:r>
    </w:p>
    <w:p w:rsidR="00E00A80" w:rsidRPr="00F720E5" w:rsidRDefault="00E00A80" w:rsidP="00F44C5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720E5">
        <w:rPr>
          <w:rFonts w:ascii="Arial" w:hAnsi="Arial" w:cs="Arial"/>
        </w:rPr>
        <w:t>The sabbatical rota allow</w:t>
      </w:r>
      <w:r w:rsidR="00162FDF" w:rsidRPr="00F720E5">
        <w:rPr>
          <w:rFonts w:ascii="Arial" w:hAnsi="Arial" w:cs="Arial"/>
        </w:rPr>
        <w:t>s</w:t>
      </w:r>
      <w:r w:rsidRPr="00F720E5">
        <w:rPr>
          <w:rFonts w:ascii="Arial" w:hAnsi="Arial" w:cs="Arial"/>
        </w:rPr>
        <w:t xml:space="preserve"> the advanced planning of teaching </w:t>
      </w:r>
      <w:r w:rsidR="00F10A6F" w:rsidRPr="00F720E5">
        <w:rPr>
          <w:rFonts w:ascii="Arial" w:hAnsi="Arial" w:cs="Arial"/>
        </w:rPr>
        <w:t>by</w:t>
      </w:r>
      <w:r w:rsidRPr="00F720E5">
        <w:rPr>
          <w:rFonts w:ascii="Arial" w:hAnsi="Arial" w:cs="Arial"/>
        </w:rPr>
        <w:t xml:space="preserve"> staff on research leave. If a module has to </w:t>
      </w:r>
      <w:r w:rsidR="00192BC5" w:rsidRPr="00F720E5">
        <w:rPr>
          <w:rFonts w:ascii="Arial" w:hAnsi="Arial" w:cs="Arial"/>
        </w:rPr>
        <w:t xml:space="preserve">be </w:t>
      </w:r>
      <w:r w:rsidRPr="00F720E5">
        <w:rPr>
          <w:rFonts w:ascii="Arial" w:hAnsi="Arial" w:cs="Arial"/>
        </w:rPr>
        <w:t xml:space="preserve">‘rested’ because of research leave, then this should be communicated to students </w:t>
      </w:r>
      <w:r w:rsidR="00F04A48" w:rsidRPr="00F720E5">
        <w:rPr>
          <w:rFonts w:ascii="Arial" w:hAnsi="Arial" w:cs="Arial"/>
        </w:rPr>
        <w:t>at least one year in advance.</w:t>
      </w:r>
      <w:r w:rsidR="00287D59" w:rsidRPr="00F720E5">
        <w:rPr>
          <w:rFonts w:ascii="Arial" w:hAnsi="Arial" w:cs="Arial"/>
        </w:rPr>
        <w:t xml:space="preserve"> </w:t>
      </w:r>
    </w:p>
    <w:p w:rsidR="009A277F" w:rsidRPr="00F720E5" w:rsidRDefault="009E53B1" w:rsidP="00F44C5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720E5">
        <w:rPr>
          <w:rFonts w:ascii="Arial" w:hAnsi="Arial" w:cs="Arial"/>
        </w:rPr>
        <w:t xml:space="preserve">In normal circumstances, student numbers on </w:t>
      </w:r>
      <w:r w:rsidR="009A277F" w:rsidRPr="00F720E5">
        <w:rPr>
          <w:rFonts w:ascii="Arial" w:hAnsi="Arial" w:cs="Arial"/>
        </w:rPr>
        <w:t>module</w:t>
      </w:r>
      <w:r w:rsidR="00D75535" w:rsidRPr="00F720E5">
        <w:rPr>
          <w:rFonts w:ascii="Arial" w:hAnsi="Arial" w:cs="Arial"/>
        </w:rPr>
        <w:t>s</w:t>
      </w:r>
      <w:r w:rsidR="009A277F" w:rsidRPr="00F720E5">
        <w:rPr>
          <w:rFonts w:ascii="Arial" w:hAnsi="Arial" w:cs="Arial"/>
        </w:rPr>
        <w:t xml:space="preserve"> should</w:t>
      </w:r>
      <w:r w:rsidRPr="00F720E5">
        <w:rPr>
          <w:rFonts w:ascii="Arial" w:hAnsi="Arial" w:cs="Arial"/>
        </w:rPr>
        <w:t xml:space="preserve"> not be</w:t>
      </w:r>
      <w:r w:rsidR="009A277F" w:rsidRPr="00F720E5">
        <w:rPr>
          <w:rFonts w:ascii="Arial" w:hAnsi="Arial" w:cs="Arial"/>
        </w:rPr>
        <w:t xml:space="preserve"> cap</w:t>
      </w:r>
      <w:r w:rsidRPr="00F720E5">
        <w:rPr>
          <w:rFonts w:ascii="Arial" w:hAnsi="Arial" w:cs="Arial"/>
        </w:rPr>
        <w:t>ped</w:t>
      </w:r>
      <w:r w:rsidR="009A277F" w:rsidRPr="00F720E5">
        <w:rPr>
          <w:rFonts w:ascii="Arial" w:hAnsi="Arial" w:cs="Arial"/>
        </w:rPr>
        <w:t>.</w:t>
      </w:r>
    </w:p>
    <w:p w:rsidR="00B41640" w:rsidRPr="00F720E5" w:rsidRDefault="00B41640" w:rsidP="00F44C5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720E5">
        <w:rPr>
          <w:rFonts w:ascii="Arial" w:hAnsi="Arial" w:cs="Arial"/>
        </w:rPr>
        <w:t>The curriculum design of programmes should follow from programme-level learn</w:t>
      </w:r>
      <w:r w:rsidR="001D3639" w:rsidRPr="00F720E5">
        <w:rPr>
          <w:rFonts w:ascii="Arial" w:hAnsi="Arial" w:cs="Arial"/>
        </w:rPr>
        <w:t xml:space="preserve">ing outcomes. </w:t>
      </w:r>
      <w:r w:rsidR="002C0180" w:rsidRPr="00F720E5">
        <w:rPr>
          <w:rFonts w:ascii="Arial" w:hAnsi="Arial" w:cs="Arial"/>
        </w:rPr>
        <w:t>Module learning outcomes must be designed in such a way as to ensure programme learning outcomes are met.</w:t>
      </w:r>
    </w:p>
    <w:p w:rsidR="008E339B" w:rsidRPr="00F720E5" w:rsidRDefault="008E339B" w:rsidP="00F44C5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720E5">
        <w:rPr>
          <w:rFonts w:ascii="Arial" w:hAnsi="Arial" w:cs="Arial"/>
        </w:rPr>
        <w:t>There should be no option choice in year 1</w:t>
      </w:r>
      <w:r w:rsidR="00D75535" w:rsidRPr="00F720E5">
        <w:rPr>
          <w:rFonts w:ascii="Arial" w:hAnsi="Arial" w:cs="Arial"/>
        </w:rPr>
        <w:t xml:space="preserve"> -</w:t>
      </w:r>
      <w:r w:rsidRPr="00F720E5">
        <w:rPr>
          <w:rFonts w:ascii="Arial" w:hAnsi="Arial" w:cs="Arial"/>
        </w:rPr>
        <w:t xml:space="preserve"> except to allow students to take </w:t>
      </w:r>
      <w:r w:rsidR="003E479A" w:rsidRPr="00F720E5">
        <w:rPr>
          <w:rFonts w:ascii="Arial" w:hAnsi="Arial" w:cs="Arial"/>
        </w:rPr>
        <w:t xml:space="preserve">a </w:t>
      </w:r>
      <w:r w:rsidR="007E4829" w:rsidRPr="00F720E5">
        <w:rPr>
          <w:rFonts w:ascii="Arial" w:hAnsi="Arial" w:cs="Arial"/>
        </w:rPr>
        <w:t>L</w:t>
      </w:r>
      <w:r w:rsidRPr="00F720E5">
        <w:rPr>
          <w:rFonts w:ascii="Arial" w:hAnsi="Arial" w:cs="Arial"/>
        </w:rPr>
        <w:t xml:space="preserve">anguage for </w:t>
      </w:r>
      <w:r w:rsidR="007E4829" w:rsidRPr="00F720E5">
        <w:rPr>
          <w:rFonts w:ascii="Arial" w:hAnsi="Arial" w:cs="Arial"/>
        </w:rPr>
        <w:t>A</w:t>
      </w:r>
      <w:r w:rsidRPr="00F720E5">
        <w:rPr>
          <w:rFonts w:ascii="Arial" w:hAnsi="Arial" w:cs="Arial"/>
        </w:rPr>
        <w:t xml:space="preserve">ll </w:t>
      </w:r>
      <w:r w:rsidR="00950B97" w:rsidRPr="00F720E5">
        <w:rPr>
          <w:rFonts w:ascii="Arial" w:hAnsi="Arial" w:cs="Arial"/>
        </w:rPr>
        <w:t xml:space="preserve">or similar </w:t>
      </w:r>
      <w:r w:rsidR="003E479A" w:rsidRPr="00F720E5">
        <w:rPr>
          <w:rFonts w:ascii="Arial" w:hAnsi="Arial" w:cs="Arial"/>
        </w:rPr>
        <w:t>module</w:t>
      </w:r>
      <w:r w:rsidR="00F04A48" w:rsidRPr="00F720E5">
        <w:rPr>
          <w:rFonts w:ascii="Arial" w:hAnsi="Arial" w:cs="Arial"/>
        </w:rPr>
        <w:t xml:space="preserve"> </w:t>
      </w:r>
      <w:r w:rsidR="0093066B" w:rsidRPr="00F720E5">
        <w:rPr>
          <w:rFonts w:ascii="Arial" w:hAnsi="Arial" w:cs="Arial"/>
        </w:rPr>
        <w:t xml:space="preserve">as </w:t>
      </w:r>
      <w:r w:rsidR="00F04A48" w:rsidRPr="00F720E5">
        <w:rPr>
          <w:rFonts w:ascii="Arial" w:hAnsi="Arial" w:cs="Arial"/>
        </w:rPr>
        <w:t>a</w:t>
      </w:r>
      <w:r w:rsidRPr="00F720E5">
        <w:rPr>
          <w:rFonts w:ascii="Arial" w:hAnsi="Arial" w:cs="Arial"/>
        </w:rPr>
        <w:t>n in-programme offer.</w:t>
      </w:r>
    </w:p>
    <w:p w:rsidR="00E00A80" w:rsidRPr="00F720E5" w:rsidRDefault="00E00A80" w:rsidP="00F44C5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720E5">
        <w:rPr>
          <w:rFonts w:ascii="Arial" w:hAnsi="Arial" w:cs="Arial"/>
        </w:rPr>
        <w:t xml:space="preserve">The degree of option choice in year 2 should be limited and depend </w:t>
      </w:r>
      <w:r w:rsidR="00D2472D" w:rsidRPr="00F720E5">
        <w:rPr>
          <w:rFonts w:ascii="Arial" w:hAnsi="Arial" w:cs="Arial"/>
        </w:rPr>
        <w:t xml:space="preserve">largely </w:t>
      </w:r>
      <w:r w:rsidRPr="00F720E5">
        <w:rPr>
          <w:rFonts w:ascii="Arial" w:hAnsi="Arial" w:cs="Arial"/>
        </w:rPr>
        <w:t xml:space="preserve">on student numbers. The exact number of modules will depend on a </w:t>
      </w:r>
      <w:r w:rsidR="00AA5F36" w:rsidRPr="00F720E5">
        <w:rPr>
          <w:rFonts w:ascii="Arial" w:hAnsi="Arial" w:cs="Arial"/>
        </w:rPr>
        <w:t>number of factors</w:t>
      </w:r>
      <w:r w:rsidRPr="00F720E5">
        <w:rPr>
          <w:rFonts w:ascii="Arial" w:hAnsi="Arial" w:cs="Arial"/>
        </w:rPr>
        <w:t xml:space="preserve">, including the degree to which a programme shares modules with similar programmes </w:t>
      </w:r>
      <w:r w:rsidR="00EB01BB" w:rsidRPr="00F720E5">
        <w:rPr>
          <w:rFonts w:ascii="Arial" w:hAnsi="Arial" w:cs="Arial"/>
        </w:rPr>
        <w:t xml:space="preserve">in contiguous subject areas </w:t>
      </w:r>
      <w:r w:rsidRPr="00F720E5">
        <w:rPr>
          <w:rFonts w:ascii="Arial" w:hAnsi="Arial" w:cs="Arial"/>
        </w:rPr>
        <w:t xml:space="preserve">often in the same department. </w:t>
      </w:r>
      <w:r w:rsidR="00180870" w:rsidRPr="00F720E5">
        <w:rPr>
          <w:rFonts w:ascii="Arial" w:hAnsi="Arial" w:cs="Arial"/>
        </w:rPr>
        <w:t>S</w:t>
      </w:r>
      <w:r w:rsidR="00637EC1" w:rsidRPr="00F720E5">
        <w:rPr>
          <w:rFonts w:ascii="Arial" w:hAnsi="Arial" w:cs="Arial"/>
        </w:rPr>
        <w:t>maller</w:t>
      </w:r>
      <w:r w:rsidR="00E07770" w:rsidRPr="00F720E5">
        <w:rPr>
          <w:rFonts w:ascii="Arial" w:hAnsi="Arial" w:cs="Arial"/>
        </w:rPr>
        <w:t xml:space="preserve"> programmes</w:t>
      </w:r>
      <w:r w:rsidR="00180870" w:rsidRPr="00F720E5">
        <w:rPr>
          <w:rFonts w:ascii="Arial" w:hAnsi="Arial" w:cs="Arial"/>
        </w:rPr>
        <w:t xml:space="preserve"> with cohort sizes below 30 students</w:t>
      </w:r>
      <w:r w:rsidR="00637EC1" w:rsidRPr="00F720E5">
        <w:rPr>
          <w:rFonts w:ascii="Arial" w:hAnsi="Arial" w:cs="Arial"/>
        </w:rPr>
        <w:t xml:space="preserve"> must consider</w:t>
      </w:r>
      <w:r w:rsidR="00E07770" w:rsidRPr="00F720E5">
        <w:rPr>
          <w:rFonts w:ascii="Arial" w:hAnsi="Arial" w:cs="Arial"/>
        </w:rPr>
        <w:t xml:space="preserve"> how the sharing of modules</w:t>
      </w:r>
      <w:r w:rsidR="00F10A6F" w:rsidRPr="00F720E5">
        <w:rPr>
          <w:rFonts w:ascii="Arial" w:hAnsi="Arial" w:cs="Arial"/>
        </w:rPr>
        <w:t xml:space="preserve"> across programmes</w:t>
      </w:r>
      <w:r w:rsidR="00CE17B3" w:rsidRPr="00F720E5">
        <w:rPr>
          <w:rFonts w:ascii="Arial" w:hAnsi="Arial" w:cs="Arial"/>
        </w:rPr>
        <w:t xml:space="preserve"> from a limited pool</w:t>
      </w:r>
      <w:r w:rsidR="00E07770" w:rsidRPr="00F720E5">
        <w:rPr>
          <w:rFonts w:ascii="Arial" w:hAnsi="Arial" w:cs="Arial"/>
        </w:rPr>
        <w:t xml:space="preserve"> </w:t>
      </w:r>
      <w:r w:rsidR="00531FE7" w:rsidRPr="00F720E5">
        <w:rPr>
          <w:rFonts w:ascii="Arial" w:hAnsi="Arial" w:cs="Arial"/>
        </w:rPr>
        <w:t xml:space="preserve">can </w:t>
      </w:r>
      <w:r w:rsidR="00637EC1" w:rsidRPr="00F720E5">
        <w:rPr>
          <w:rFonts w:ascii="Arial" w:hAnsi="Arial" w:cs="Arial"/>
        </w:rPr>
        <w:t>create sustainability.</w:t>
      </w:r>
      <w:r w:rsidRPr="00F720E5">
        <w:rPr>
          <w:rFonts w:ascii="Arial" w:hAnsi="Arial" w:cs="Arial"/>
        </w:rPr>
        <w:t xml:space="preserve"> </w:t>
      </w:r>
      <w:r w:rsidR="00180870" w:rsidRPr="00F720E5">
        <w:rPr>
          <w:rFonts w:ascii="Arial" w:hAnsi="Arial" w:cs="Arial"/>
        </w:rPr>
        <w:t>F</w:t>
      </w:r>
      <w:r w:rsidR="00F04A48" w:rsidRPr="00F720E5">
        <w:rPr>
          <w:rFonts w:ascii="Arial" w:hAnsi="Arial" w:cs="Arial"/>
        </w:rPr>
        <w:t>or programmes with large</w:t>
      </w:r>
      <w:r w:rsidR="0045037D" w:rsidRPr="00F720E5">
        <w:rPr>
          <w:rFonts w:ascii="Arial" w:hAnsi="Arial" w:cs="Arial"/>
        </w:rPr>
        <w:t>r</w:t>
      </w:r>
      <w:r w:rsidR="00F04A48" w:rsidRPr="00F720E5">
        <w:rPr>
          <w:rFonts w:ascii="Arial" w:hAnsi="Arial" w:cs="Arial"/>
        </w:rPr>
        <w:t xml:space="preserve"> cohorts, the expectation </w:t>
      </w:r>
      <w:r w:rsidR="0045037D" w:rsidRPr="00F720E5">
        <w:rPr>
          <w:rFonts w:ascii="Arial" w:hAnsi="Arial" w:cs="Arial"/>
        </w:rPr>
        <w:t xml:space="preserve">is </w:t>
      </w:r>
      <w:r w:rsidR="00F04A48" w:rsidRPr="00F720E5">
        <w:rPr>
          <w:rFonts w:ascii="Arial" w:hAnsi="Arial" w:cs="Arial"/>
        </w:rPr>
        <w:t xml:space="preserve">that </w:t>
      </w:r>
      <w:r w:rsidR="0045037D" w:rsidRPr="00F720E5">
        <w:rPr>
          <w:rFonts w:ascii="Arial" w:hAnsi="Arial" w:cs="Arial"/>
        </w:rPr>
        <w:lastRenderedPageBreak/>
        <w:t>contiguous subjects should share modules wherever possible to manage the total number of modules in an area of study (e.g. education</w:t>
      </w:r>
      <w:r w:rsidR="00DC622F" w:rsidRPr="00F720E5">
        <w:rPr>
          <w:rFonts w:ascii="Arial" w:hAnsi="Arial" w:cs="Arial"/>
        </w:rPr>
        <w:t xml:space="preserve"> or</w:t>
      </w:r>
      <w:r w:rsidR="0045037D" w:rsidRPr="00F720E5">
        <w:rPr>
          <w:rFonts w:ascii="Arial" w:hAnsi="Arial" w:cs="Arial"/>
        </w:rPr>
        <w:t xml:space="preserve"> bio-sciences). </w:t>
      </w:r>
      <w:r w:rsidR="007D605C" w:rsidRPr="00F720E5">
        <w:rPr>
          <w:rFonts w:ascii="Arial" w:hAnsi="Arial" w:cs="Arial"/>
        </w:rPr>
        <w:t>Consideration should be given to designing year 2 modules that can be taught by a colleagues across the programme team and not dependent on any one member of the team.</w:t>
      </w:r>
    </w:p>
    <w:p w:rsidR="00E00A80" w:rsidRPr="00F720E5" w:rsidRDefault="003A3092" w:rsidP="00F44C5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720E5">
        <w:rPr>
          <w:rFonts w:ascii="Arial" w:hAnsi="Arial" w:cs="Arial"/>
        </w:rPr>
        <w:t xml:space="preserve">If student numbers allow, </w:t>
      </w:r>
      <w:r w:rsidR="00E00A80" w:rsidRPr="00F720E5">
        <w:rPr>
          <w:rFonts w:ascii="Arial" w:hAnsi="Arial" w:cs="Arial"/>
        </w:rPr>
        <w:t>option choice can be greater in year 3</w:t>
      </w:r>
      <w:r w:rsidR="00180870" w:rsidRPr="00F720E5">
        <w:rPr>
          <w:rFonts w:ascii="Arial" w:hAnsi="Arial" w:cs="Arial"/>
        </w:rPr>
        <w:t xml:space="preserve"> to reflect the distinctiveness of subject areas and research-informed teaching</w:t>
      </w:r>
      <w:r w:rsidR="00E00A80" w:rsidRPr="00F720E5">
        <w:rPr>
          <w:rFonts w:ascii="Arial" w:hAnsi="Arial" w:cs="Arial"/>
        </w:rPr>
        <w:t xml:space="preserve">. </w:t>
      </w:r>
      <w:r w:rsidR="00180870" w:rsidRPr="00F720E5">
        <w:rPr>
          <w:rFonts w:ascii="Arial" w:hAnsi="Arial" w:cs="Arial"/>
        </w:rPr>
        <w:t xml:space="preserve"> The expectation remains that contiguous subjects share modules wherever possible to manage the total number of modules in an area of study.</w:t>
      </w:r>
    </w:p>
    <w:p w:rsidR="00287B38" w:rsidRPr="00F720E5" w:rsidRDefault="00287B38" w:rsidP="00F44C5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720E5">
        <w:rPr>
          <w:rFonts w:ascii="Arial" w:hAnsi="Arial" w:cs="Arial"/>
        </w:rPr>
        <w:t xml:space="preserve">The </w:t>
      </w:r>
      <w:r w:rsidR="007D605C" w:rsidRPr="00F720E5">
        <w:rPr>
          <w:rFonts w:ascii="Arial" w:hAnsi="Arial" w:cs="Arial"/>
        </w:rPr>
        <w:t xml:space="preserve">minimum </w:t>
      </w:r>
      <w:r w:rsidRPr="00F720E5">
        <w:rPr>
          <w:rFonts w:ascii="Arial" w:hAnsi="Arial" w:cs="Arial"/>
        </w:rPr>
        <w:t xml:space="preserve">standard </w:t>
      </w:r>
      <w:r w:rsidR="00397281" w:rsidRPr="00F720E5">
        <w:rPr>
          <w:rFonts w:ascii="Arial" w:hAnsi="Arial" w:cs="Arial"/>
        </w:rPr>
        <w:t xml:space="preserve">face-to-face </w:t>
      </w:r>
      <w:r w:rsidRPr="00F720E5">
        <w:rPr>
          <w:rFonts w:ascii="Arial" w:hAnsi="Arial" w:cs="Arial"/>
        </w:rPr>
        <w:t>contact time for a 20 credit module is 36 hours.</w:t>
      </w:r>
    </w:p>
    <w:p w:rsidR="00585057" w:rsidRPr="00F720E5" w:rsidRDefault="00585057" w:rsidP="00F44C5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720E5">
        <w:rPr>
          <w:rFonts w:ascii="Arial" w:hAnsi="Arial" w:cs="Arial"/>
        </w:rPr>
        <w:t xml:space="preserve">Module delivery should follow one of two general patterns depending on student numbers: </w:t>
      </w:r>
    </w:p>
    <w:p w:rsidR="00585057" w:rsidRPr="00F720E5" w:rsidRDefault="00585057" w:rsidP="00F44C5D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F720E5">
        <w:rPr>
          <w:rFonts w:ascii="Arial" w:hAnsi="Arial" w:cs="Arial"/>
        </w:rPr>
        <w:t>Pattern A: between 20 and</w:t>
      </w:r>
      <w:r w:rsidR="003A3092" w:rsidRPr="00F720E5">
        <w:rPr>
          <w:rFonts w:ascii="Arial" w:hAnsi="Arial" w:cs="Arial"/>
        </w:rPr>
        <w:t xml:space="preserve"> </w:t>
      </w:r>
      <w:r w:rsidR="00397281" w:rsidRPr="00F720E5">
        <w:rPr>
          <w:rFonts w:ascii="Arial" w:hAnsi="Arial" w:cs="Arial"/>
        </w:rPr>
        <w:t>50</w:t>
      </w:r>
      <w:r w:rsidRPr="00F720E5">
        <w:rPr>
          <w:rFonts w:ascii="Arial" w:hAnsi="Arial" w:cs="Arial"/>
        </w:rPr>
        <w:t xml:space="preserve"> students, modules (20 credits, term long) should be taught </w:t>
      </w:r>
      <w:r w:rsidR="003A3092" w:rsidRPr="00F720E5">
        <w:rPr>
          <w:rFonts w:ascii="Arial" w:hAnsi="Arial" w:cs="Arial"/>
        </w:rPr>
        <w:t>as</w:t>
      </w:r>
      <w:r w:rsidRPr="00F720E5">
        <w:rPr>
          <w:rFonts w:ascii="Arial" w:hAnsi="Arial" w:cs="Arial"/>
        </w:rPr>
        <w:t xml:space="preserve"> a single group by a tutor (or the equivalent FTE if there are a number of specialist sub-areas)</w:t>
      </w:r>
      <w:r w:rsidR="003A3092" w:rsidRPr="00F720E5">
        <w:rPr>
          <w:rFonts w:ascii="Arial" w:hAnsi="Arial" w:cs="Arial"/>
        </w:rPr>
        <w:t xml:space="preserve">. </w:t>
      </w:r>
      <w:r w:rsidR="00333F0A" w:rsidRPr="00F720E5">
        <w:rPr>
          <w:rFonts w:ascii="Arial" w:hAnsi="Arial" w:cs="Arial"/>
        </w:rPr>
        <w:t>Modules of this size should be taught as</w:t>
      </w:r>
      <w:r w:rsidRPr="00F720E5">
        <w:rPr>
          <w:rFonts w:ascii="Arial" w:hAnsi="Arial" w:cs="Arial"/>
        </w:rPr>
        <w:t xml:space="preserve"> a single timetabled block</w:t>
      </w:r>
      <w:r w:rsidR="00333F0A" w:rsidRPr="00F720E5">
        <w:rPr>
          <w:rFonts w:ascii="Arial" w:hAnsi="Arial" w:cs="Arial"/>
        </w:rPr>
        <w:t xml:space="preserve"> if there is a mix of whole group and smaller group </w:t>
      </w:r>
      <w:r w:rsidR="004622B0" w:rsidRPr="00F720E5">
        <w:rPr>
          <w:rFonts w:ascii="Arial" w:hAnsi="Arial" w:cs="Arial"/>
        </w:rPr>
        <w:t xml:space="preserve">or workshop </w:t>
      </w:r>
      <w:r w:rsidR="00333F0A" w:rsidRPr="00F720E5">
        <w:rPr>
          <w:rFonts w:ascii="Arial" w:hAnsi="Arial" w:cs="Arial"/>
        </w:rPr>
        <w:t>activities</w:t>
      </w:r>
      <w:r w:rsidR="00283F88" w:rsidRPr="00F720E5">
        <w:rPr>
          <w:rFonts w:ascii="Arial" w:hAnsi="Arial" w:cs="Arial"/>
        </w:rPr>
        <w:t>;</w:t>
      </w:r>
      <w:r w:rsidR="00333F0A" w:rsidRPr="00F720E5">
        <w:rPr>
          <w:rFonts w:ascii="Arial" w:hAnsi="Arial" w:cs="Arial"/>
        </w:rPr>
        <w:t xml:space="preserve"> </w:t>
      </w:r>
      <w:r w:rsidR="00283F88" w:rsidRPr="00F720E5">
        <w:rPr>
          <w:rFonts w:ascii="Arial" w:hAnsi="Arial" w:cs="Arial"/>
        </w:rPr>
        <w:t xml:space="preserve">or, where student registrations permit, </w:t>
      </w:r>
      <w:r w:rsidRPr="00F720E5">
        <w:rPr>
          <w:rFonts w:ascii="Arial" w:hAnsi="Arial" w:cs="Arial"/>
        </w:rPr>
        <w:t>split</w:t>
      </w:r>
      <w:r w:rsidR="008905D1" w:rsidRPr="00F720E5">
        <w:rPr>
          <w:rFonts w:ascii="Arial" w:hAnsi="Arial" w:cs="Arial"/>
        </w:rPr>
        <w:t xml:space="preserve"> into discrete</w:t>
      </w:r>
      <w:r w:rsidR="00FE4D87" w:rsidRPr="00F720E5">
        <w:rPr>
          <w:rFonts w:ascii="Arial" w:hAnsi="Arial" w:cs="Arial"/>
        </w:rPr>
        <w:t xml:space="preserve"> sessions,</w:t>
      </w:r>
      <w:r w:rsidRPr="00F720E5">
        <w:rPr>
          <w:rFonts w:ascii="Arial" w:hAnsi="Arial" w:cs="Arial"/>
        </w:rPr>
        <w:t xml:space="preserve"> e.</w:t>
      </w:r>
      <w:r w:rsidR="00865B9A" w:rsidRPr="00F720E5">
        <w:rPr>
          <w:rFonts w:ascii="Arial" w:hAnsi="Arial" w:cs="Arial"/>
        </w:rPr>
        <w:t>g. 1</w:t>
      </w:r>
      <w:r w:rsidR="00446DD7" w:rsidRPr="00F720E5">
        <w:rPr>
          <w:rFonts w:ascii="Arial" w:hAnsi="Arial" w:cs="Arial"/>
        </w:rPr>
        <w:t xml:space="preserve"> hour </w:t>
      </w:r>
      <w:r w:rsidR="00333F0A" w:rsidRPr="00F720E5">
        <w:rPr>
          <w:rFonts w:ascii="Arial" w:hAnsi="Arial" w:cs="Arial"/>
        </w:rPr>
        <w:t xml:space="preserve">whole group and two </w:t>
      </w:r>
      <w:r w:rsidR="00865B9A" w:rsidRPr="00F720E5">
        <w:rPr>
          <w:rFonts w:ascii="Arial" w:hAnsi="Arial" w:cs="Arial"/>
        </w:rPr>
        <w:t>2</w:t>
      </w:r>
      <w:r w:rsidR="00446DD7" w:rsidRPr="00F720E5">
        <w:rPr>
          <w:rFonts w:ascii="Arial" w:hAnsi="Arial" w:cs="Arial"/>
        </w:rPr>
        <w:t xml:space="preserve"> hour </w:t>
      </w:r>
      <w:r w:rsidR="00333F0A" w:rsidRPr="00F720E5">
        <w:rPr>
          <w:rFonts w:ascii="Arial" w:hAnsi="Arial" w:cs="Arial"/>
        </w:rPr>
        <w:t>smaller group</w:t>
      </w:r>
      <w:r w:rsidR="00287B38" w:rsidRPr="00F720E5">
        <w:rPr>
          <w:rFonts w:ascii="Arial" w:hAnsi="Arial" w:cs="Arial"/>
        </w:rPr>
        <w:t xml:space="preserve"> sessions</w:t>
      </w:r>
      <w:r w:rsidRPr="00F720E5">
        <w:rPr>
          <w:rFonts w:ascii="Arial" w:hAnsi="Arial" w:cs="Arial"/>
        </w:rPr>
        <w:t xml:space="preserve">; </w:t>
      </w:r>
    </w:p>
    <w:p w:rsidR="00287B38" w:rsidRPr="00F720E5" w:rsidRDefault="00585057" w:rsidP="00F44C5D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F720E5">
        <w:rPr>
          <w:rFonts w:ascii="Arial" w:hAnsi="Arial" w:cs="Arial"/>
        </w:rPr>
        <w:t>Pattern B: above</w:t>
      </w:r>
      <w:r w:rsidR="00333F0A" w:rsidRPr="00F720E5">
        <w:rPr>
          <w:rFonts w:ascii="Arial" w:hAnsi="Arial" w:cs="Arial"/>
        </w:rPr>
        <w:t xml:space="preserve"> 50</w:t>
      </w:r>
      <w:r w:rsidRPr="00F720E5">
        <w:rPr>
          <w:rFonts w:ascii="Arial" w:hAnsi="Arial" w:cs="Arial"/>
        </w:rPr>
        <w:t xml:space="preserve"> students, modules should be taught </w:t>
      </w:r>
      <w:r w:rsidR="00287B38" w:rsidRPr="00F720E5">
        <w:rPr>
          <w:rFonts w:ascii="Arial" w:hAnsi="Arial" w:cs="Arial"/>
        </w:rPr>
        <w:t>as</w:t>
      </w:r>
      <w:r w:rsidRPr="00F720E5">
        <w:rPr>
          <w:rFonts w:ascii="Arial" w:hAnsi="Arial" w:cs="Arial"/>
        </w:rPr>
        <w:t xml:space="preserve"> a single </w:t>
      </w:r>
      <w:r w:rsidR="00333F0A" w:rsidRPr="00F720E5">
        <w:rPr>
          <w:rFonts w:ascii="Arial" w:hAnsi="Arial" w:cs="Arial"/>
        </w:rPr>
        <w:t xml:space="preserve">whole group </w:t>
      </w:r>
      <w:r w:rsidRPr="00F720E5">
        <w:rPr>
          <w:rFonts w:ascii="Arial" w:hAnsi="Arial" w:cs="Arial"/>
        </w:rPr>
        <w:t>lecture</w:t>
      </w:r>
      <w:r w:rsidR="00333F0A" w:rsidRPr="00F720E5">
        <w:rPr>
          <w:rFonts w:ascii="Arial" w:hAnsi="Arial" w:cs="Arial"/>
        </w:rPr>
        <w:t xml:space="preserve"> or equivalent</w:t>
      </w:r>
      <w:r w:rsidR="00287B38" w:rsidRPr="00F720E5">
        <w:rPr>
          <w:rFonts w:ascii="Arial" w:hAnsi="Arial" w:cs="Arial"/>
        </w:rPr>
        <w:t xml:space="preserve"> supported by smaller classes of approximately 20-25 students typically on a 1 + 2 hour model.</w:t>
      </w:r>
      <w:r w:rsidR="004622B0" w:rsidRPr="00F720E5">
        <w:rPr>
          <w:rFonts w:ascii="Arial" w:hAnsi="Arial" w:cs="Arial"/>
        </w:rPr>
        <w:t xml:space="preserve"> For timetabling purposes, the large and smaller group sessions will be booked as separate items.</w:t>
      </w:r>
    </w:p>
    <w:p w:rsidR="00A36A41" w:rsidRPr="00F720E5" w:rsidRDefault="00A36A41" w:rsidP="00F44C5D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F720E5">
        <w:rPr>
          <w:rFonts w:ascii="Arial" w:hAnsi="Arial" w:cs="Arial"/>
        </w:rPr>
        <w:t>Laboratory, studio and practical work may also be constrained by the size and capacity of teaching space and this may impact on the exact delivery and timetabling of modules.</w:t>
      </w:r>
    </w:p>
    <w:p w:rsidR="00180870" w:rsidRPr="00F720E5" w:rsidRDefault="002C0180" w:rsidP="00F44C5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720E5">
        <w:rPr>
          <w:rFonts w:ascii="Arial" w:hAnsi="Arial" w:cs="Arial"/>
        </w:rPr>
        <w:lastRenderedPageBreak/>
        <w:t>T</w:t>
      </w:r>
      <w:r w:rsidR="00180870" w:rsidRPr="00F720E5">
        <w:rPr>
          <w:rFonts w:ascii="Arial" w:hAnsi="Arial" w:cs="Arial"/>
        </w:rPr>
        <w:t>his university-wide framework</w:t>
      </w:r>
      <w:r w:rsidRPr="00F720E5">
        <w:rPr>
          <w:rFonts w:ascii="Arial" w:hAnsi="Arial" w:cs="Arial"/>
        </w:rPr>
        <w:t xml:space="preserve"> must be used in the review and revalidation of all programmes; and should</w:t>
      </w:r>
      <w:r w:rsidR="00180870" w:rsidRPr="00F720E5">
        <w:rPr>
          <w:rFonts w:ascii="Arial" w:hAnsi="Arial" w:cs="Arial"/>
        </w:rPr>
        <w:t xml:space="preserve"> reflect the requirements </w:t>
      </w:r>
      <w:r w:rsidR="002D12A8" w:rsidRPr="00F720E5">
        <w:rPr>
          <w:rFonts w:ascii="Arial" w:hAnsi="Arial" w:cs="Arial"/>
        </w:rPr>
        <w:t>for</w:t>
      </w:r>
      <w:r w:rsidR="00180870" w:rsidRPr="00F720E5">
        <w:rPr>
          <w:rFonts w:ascii="Arial" w:hAnsi="Arial" w:cs="Arial"/>
        </w:rPr>
        <w:t xml:space="preserve"> </w:t>
      </w:r>
      <w:r w:rsidR="00C77250" w:rsidRPr="00F720E5">
        <w:rPr>
          <w:rFonts w:ascii="Arial" w:hAnsi="Arial" w:cs="Arial"/>
        </w:rPr>
        <w:t xml:space="preserve">teaching </w:t>
      </w:r>
      <w:r w:rsidR="00180870" w:rsidRPr="00F720E5">
        <w:rPr>
          <w:rFonts w:ascii="Arial" w:hAnsi="Arial" w:cs="Arial"/>
        </w:rPr>
        <w:t>the subject, research specialisms and market demand</w:t>
      </w:r>
      <w:r w:rsidR="00C77250" w:rsidRPr="00F720E5">
        <w:rPr>
          <w:rFonts w:ascii="Arial" w:hAnsi="Arial" w:cs="Arial"/>
        </w:rPr>
        <w:t xml:space="preserve">. </w:t>
      </w:r>
      <w:r w:rsidRPr="00F720E5">
        <w:rPr>
          <w:rFonts w:ascii="Arial" w:hAnsi="Arial" w:cs="Arial"/>
        </w:rPr>
        <w:t>In applying the framework, programmes</w:t>
      </w:r>
      <w:r w:rsidR="00C77250" w:rsidRPr="00F720E5">
        <w:rPr>
          <w:rFonts w:ascii="Arial" w:hAnsi="Arial" w:cs="Arial"/>
        </w:rPr>
        <w:t xml:space="preserve"> should consider the budget position and staff student ratios in the department and programme area. Programme delivery plans will be reviewed and approved by Curriculum Strategy Committee.</w:t>
      </w:r>
      <w:r w:rsidR="00180870" w:rsidRPr="00F720E5">
        <w:rPr>
          <w:rFonts w:ascii="Arial" w:hAnsi="Arial" w:cs="Arial"/>
        </w:rPr>
        <w:t xml:space="preserve"> </w:t>
      </w:r>
    </w:p>
    <w:sectPr w:rsidR="00180870" w:rsidRPr="00F720E5" w:rsidSect="001D7B2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44C" w:rsidRDefault="00C4244C" w:rsidP="00DD62AC">
      <w:pPr>
        <w:spacing w:after="0" w:line="240" w:lineRule="auto"/>
      </w:pPr>
      <w:r>
        <w:separator/>
      </w:r>
    </w:p>
  </w:endnote>
  <w:endnote w:type="continuationSeparator" w:id="0">
    <w:p w:rsidR="00C4244C" w:rsidRDefault="00C4244C" w:rsidP="00DD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1932243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7FCB" w:rsidRPr="00F720E5" w:rsidRDefault="00477EBE" w:rsidP="00645A0E">
        <w:pPr>
          <w:pStyle w:val="Footer"/>
          <w:pBdr>
            <w:top w:val="single" w:sz="4" w:space="1" w:color="auto"/>
          </w:pBdr>
          <w:jc w:val="right"/>
          <w:rPr>
            <w:rFonts w:ascii="Arial" w:hAnsi="Arial" w:cs="Arial"/>
          </w:rPr>
        </w:pPr>
        <w:r w:rsidRPr="00F720E5">
          <w:rPr>
            <w:rFonts w:ascii="Arial" w:hAnsi="Arial" w:cs="Arial"/>
          </w:rPr>
          <w:t xml:space="preserve">Page </w:t>
        </w:r>
        <w:r w:rsidRPr="00F720E5">
          <w:rPr>
            <w:rFonts w:ascii="Arial" w:hAnsi="Arial" w:cs="Arial"/>
            <w:b/>
          </w:rPr>
          <w:fldChar w:fldCharType="begin"/>
        </w:r>
        <w:r w:rsidRPr="00F720E5">
          <w:rPr>
            <w:rFonts w:ascii="Arial" w:hAnsi="Arial" w:cs="Arial"/>
            <w:b/>
          </w:rPr>
          <w:instrText xml:space="preserve"> PAGE  \* Arabic  \* MERGEFORMAT </w:instrText>
        </w:r>
        <w:r w:rsidRPr="00F720E5">
          <w:rPr>
            <w:rFonts w:ascii="Arial" w:hAnsi="Arial" w:cs="Arial"/>
            <w:b/>
          </w:rPr>
          <w:fldChar w:fldCharType="separate"/>
        </w:r>
        <w:r w:rsidR="006A5F02">
          <w:rPr>
            <w:rFonts w:ascii="Arial" w:hAnsi="Arial" w:cs="Arial"/>
            <w:b/>
            <w:noProof/>
          </w:rPr>
          <w:t>1</w:t>
        </w:r>
        <w:r w:rsidRPr="00F720E5">
          <w:rPr>
            <w:rFonts w:ascii="Arial" w:hAnsi="Arial" w:cs="Arial"/>
            <w:b/>
          </w:rPr>
          <w:fldChar w:fldCharType="end"/>
        </w:r>
        <w:r w:rsidRPr="00F720E5">
          <w:rPr>
            <w:rFonts w:ascii="Arial" w:hAnsi="Arial" w:cs="Arial"/>
          </w:rPr>
          <w:t xml:space="preserve"> of </w:t>
        </w:r>
        <w:r w:rsidRPr="00F720E5">
          <w:rPr>
            <w:rFonts w:ascii="Arial" w:hAnsi="Arial" w:cs="Arial"/>
            <w:b/>
          </w:rPr>
          <w:fldChar w:fldCharType="begin"/>
        </w:r>
        <w:r w:rsidRPr="00F720E5">
          <w:rPr>
            <w:rFonts w:ascii="Arial" w:hAnsi="Arial" w:cs="Arial"/>
            <w:b/>
          </w:rPr>
          <w:instrText xml:space="preserve"> NUMPAGES  \* Arabic  \* MERGEFORMAT </w:instrText>
        </w:r>
        <w:r w:rsidRPr="00F720E5">
          <w:rPr>
            <w:rFonts w:ascii="Arial" w:hAnsi="Arial" w:cs="Arial"/>
            <w:b/>
          </w:rPr>
          <w:fldChar w:fldCharType="separate"/>
        </w:r>
        <w:r w:rsidR="006A5F02">
          <w:rPr>
            <w:rFonts w:ascii="Arial" w:hAnsi="Arial" w:cs="Arial"/>
            <w:b/>
            <w:noProof/>
          </w:rPr>
          <w:t>2</w:t>
        </w:r>
        <w:r w:rsidRPr="00F720E5">
          <w:rPr>
            <w:rFonts w:ascii="Arial" w:hAnsi="Arial" w:cs="Arial"/>
            <w:b/>
          </w:rPr>
          <w:fldChar w:fldCharType="end"/>
        </w:r>
      </w:p>
    </w:sdtContent>
  </w:sdt>
  <w:p w:rsidR="00107FCB" w:rsidRDefault="00107F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44C" w:rsidRDefault="00C4244C" w:rsidP="00DD62AC">
      <w:pPr>
        <w:spacing w:after="0" w:line="240" w:lineRule="auto"/>
      </w:pPr>
      <w:r>
        <w:separator/>
      </w:r>
    </w:p>
  </w:footnote>
  <w:footnote w:type="continuationSeparator" w:id="0">
    <w:p w:rsidR="00C4244C" w:rsidRDefault="00C4244C" w:rsidP="00DD62AC">
      <w:pPr>
        <w:spacing w:after="0" w:line="240" w:lineRule="auto"/>
      </w:pPr>
      <w:r>
        <w:continuationSeparator/>
      </w:r>
    </w:p>
  </w:footnote>
  <w:footnote w:id="1">
    <w:p w:rsidR="004D45CE" w:rsidRPr="00F720E5" w:rsidRDefault="004D45CE">
      <w:pPr>
        <w:pStyle w:val="FootnoteText"/>
        <w:rPr>
          <w:rFonts w:ascii="Arial" w:hAnsi="Arial" w:cs="Arial"/>
        </w:rPr>
      </w:pPr>
      <w:r w:rsidRPr="00F720E5">
        <w:rPr>
          <w:rStyle w:val="FootnoteReference"/>
          <w:rFonts w:ascii="Arial" w:hAnsi="Arial" w:cs="Arial"/>
        </w:rPr>
        <w:footnoteRef/>
      </w:r>
      <w:r w:rsidRPr="00F720E5">
        <w:rPr>
          <w:rFonts w:ascii="Arial" w:hAnsi="Arial" w:cs="Arial"/>
        </w:rPr>
        <w:t xml:space="preserve"> </w:t>
      </w:r>
      <w:hyperlink r:id="rId1" w:history="1">
        <w:r w:rsidRPr="00F720E5">
          <w:rPr>
            <w:rStyle w:val="Hyperlink"/>
            <w:rFonts w:ascii="Arial" w:hAnsi="Arial" w:cs="Arial"/>
          </w:rPr>
          <w:t>http://www.qaa.ac.uk/assuring-standards-and-quality/the-quality-code/quality-code-part-b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F02" w:rsidRDefault="006A5F02" w:rsidP="006A5F02">
    <w:pPr>
      <w:pStyle w:val="Header"/>
      <w:tabs>
        <w:tab w:val="clear" w:pos="4513"/>
        <w:tab w:val="clear" w:pos="9026"/>
        <w:tab w:val="left" w:pos="2730"/>
      </w:tabs>
      <w:jc w:val="both"/>
      <w:rPr>
        <w:rFonts w:ascii="Calibri" w:eastAsia="Calibri" w:hAnsi="Calibri" w:cs="Times New Roman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12C5ABB" wp14:editId="3DA178AC">
          <wp:simplePos x="0" y="0"/>
          <wp:positionH relativeFrom="margin">
            <wp:posOffset>-161592</wp:posOffset>
          </wp:positionH>
          <wp:positionV relativeFrom="paragraph">
            <wp:posOffset>-144145</wp:posOffset>
          </wp:positionV>
          <wp:extent cx="1400175" cy="852373"/>
          <wp:effectExtent l="0" t="0" r="0" b="0"/>
          <wp:wrapSquare wrapText="bothSides"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mark_RGB_Colourway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852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7B23">
      <w:rPr>
        <w:rFonts w:ascii="Calibri" w:eastAsia="Calibri" w:hAnsi="Calibri" w:cs="Times New Roman"/>
      </w:rPr>
      <w:tab/>
    </w:r>
  </w:p>
  <w:p w:rsidR="006A5F02" w:rsidRDefault="006A5F02" w:rsidP="006A5F02">
    <w:pPr>
      <w:pStyle w:val="Header"/>
      <w:tabs>
        <w:tab w:val="clear" w:pos="4513"/>
        <w:tab w:val="clear" w:pos="9026"/>
        <w:tab w:val="left" w:pos="2730"/>
      </w:tabs>
      <w:jc w:val="both"/>
      <w:rPr>
        <w:rFonts w:ascii="Calibri" w:eastAsia="Calibri" w:hAnsi="Calibri" w:cs="Times New Roman"/>
      </w:rPr>
    </w:pPr>
  </w:p>
  <w:p w:rsidR="006A5F02" w:rsidRDefault="006A5F02" w:rsidP="006A5F02">
    <w:pPr>
      <w:pStyle w:val="Header"/>
      <w:tabs>
        <w:tab w:val="clear" w:pos="4513"/>
        <w:tab w:val="clear" w:pos="9026"/>
        <w:tab w:val="left" w:pos="2730"/>
      </w:tabs>
      <w:jc w:val="both"/>
      <w:rPr>
        <w:rFonts w:ascii="Calibri" w:eastAsia="Calibri" w:hAnsi="Calibri" w:cs="Times New Roman"/>
      </w:rPr>
    </w:pPr>
  </w:p>
  <w:p w:rsidR="006A5F02" w:rsidRDefault="006A5F02" w:rsidP="006A5F02">
    <w:pPr>
      <w:pStyle w:val="Header"/>
      <w:tabs>
        <w:tab w:val="clear" w:pos="4513"/>
        <w:tab w:val="clear" w:pos="9026"/>
        <w:tab w:val="left" w:pos="2730"/>
      </w:tabs>
      <w:jc w:val="both"/>
      <w:rPr>
        <w:rFonts w:ascii="Calibri" w:eastAsia="Calibri" w:hAnsi="Calibri" w:cs="Times New Roman"/>
      </w:rPr>
    </w:pPr>
  </w:p>
  <w:p w:rsidR="006A5F02" w:rsidRPr="006A5F02" w:rsidRDefault="006A5F02" w:rsidP="006A5F02">
    <w:pPr>
      <w:pStyle w:val="Header"/>
      <w:tabs>
        <w:tab w:val="clear" w:pos="4513"/>
        <w:tab w:val="clear" w:pos="9026"/>
        <w:tab w:val="left" w:pos="2730"/>
      </w:tabs>
      <w:jc w:val="both"/>
      <w:rPr>
        <w:rFonts w:ascii="Calibri" w:eastAsia="Calibri" w:hAnsi="Calibri" w:cs="Times New Roman"/>
      </w:rPr>
    </w:pPr>
    <w:r>
      <w:rPr>
        <w:rFonts w:ascii="Arial" w:eastAsia="Calibri" w:hAnsi="Arial" w:cs="Arial"/>
        <w:b/>
      </w:rPr>
      <w:t xml:space="preserve">          </w:t>
    </w:r>
    <w:r w:rsidR="00660428">
      <w:rPr>
        <w:rFonts w:ascii="Arial" w:eastAsia="Calibri" w:hAnsi="Arial" w:cs="Arial"/>
        <w:b/>
      </w:rPr>
      <w:t xml:space="preserve">PROGRAMME DEVELOPMENT </w:t>
    </w:r>
  </w:p>
  <w:p w:rsidR="00477EBE" w:rsidRPr="00477EBE" w:rsidRDefault="006A5F02" w:rsidP="001D7B23">
    <w:pPr>
      <w:pStyle w:val="Header"/>
      <w:jc w:val="right"/>
      <w:rPr>
        <w:rFonts w:ascii="Arial" w:hAnsi="Arial" w:cs="Arial"/>
      </w:rPr>
    </w:pPr>
    <w:r>
      <w:rPr>
        <w:rFonts w:ascii="Times New Roman" w:eastAsia="Times New Roman" w:hAnsi="Times New Roman" w:cs="Times New Roman"/>
        <w:sz w:val="24"/>
        <w:szCs w:val="24"/>
      </w:rPr>
      <w:pict>
        <v:rect id="_x0000_i103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3ADF"/>
    <w:multiLevelType w:val="hybridMultilevel"/>
    <w:tmpl w:val="47641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20A0D"/>
    <w:multiLevelType w:val="hybridMultilevel"/>
    <w:tmpl w:val="98DE0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9B"/>
    <w:rsid w:val="00015B99"/>
    <w:rsid w:val="00027AAB"/>
    <w:rsid w:val="00032E06"/>
    <w:rsid w:val="00060D3B"/>
    <w:rsid w:val="0006339A"/>
    <w:rsid w:val="00076D8B"/>
    <w:rsid w:val="0008002D"/>
    <w:rsid w:val="00083BB5"/>
    <w:rsid w:val="000B50ED"/>
    <w:rsid w:val="000C0F14"/>
    <w:rsid w:val="000C2E8E"/>
    <w:rsid w:val="000E37E8"/>
    <w:rsid w:val="00107FCB"/>
    <w:rsid w:val="00115EDC"/>
    <w:rsid w:val="00123200"/>
    <w:rsid w:val="00151DFB"/>
    <w:rsid w:val="0016109B"/>
    <w:rsid w:val="00162BB9"/>
    <w:rsid w:val="00162FDF"/>
    <w:rsid w:val="0016585D"/>
    <w:rsid w:val="00180870"/>
    <w:rsid w:val="00184E0F"/>
    <w:rsid w:val="00192BC5"/>
    <w:rsid w:val="001D3639"/>
    <w:rsid w:val="001D6A63"/>
    <w:rsid w:val="001D7B23"/>
    <w:rsid w:val="002064E6"/>
    <w:rsid w:val="00212731"/>
    <w:rsid w:val="00227F61"/>
    <w:rsid w:val="00242AED"/>
    <w:rsid w:val="00261910"/>
    <w:rsid w:val="00263BC7"/>
    <w:rsid w:val="00282F6A"/>
    <w:rsid w:val="00283F88"/>
    <w:rsid w:val="00287B38"/>
    <w:rsid w:val="00287D59"/>
    <w:rsid w:val="002A2446"/>
    <w:rsid w:val="002C0180"/>
    <w:rsid w:val="002D12A8"/>
    <w:rsid w:val="002D1E44"/>
    <w:rsid w:val="002D7E05"/>
    <w:rsid w:val="002E7E65"/>
    <w:rsid w:val="002F61DA"/>
    <w:rsid w:val="00307161"/>
    <w:rsid w:val="003248F3"/>
    <w:rsid w:val="00333F0A"/>
    <w:rsid w:val="00350F06"/>
    <w:rsid w:val="00350F48"/>
    <w:rsid w:val="0035585D"/>
    <w:rsid w:val="00371223"/>
    <w:rsid w:val="00397281"/>
    <w:rsid w:val="003A3092"/>
    <w:rsid w:val="003A531C"/>
    <w:rsid w:val="003E255F"/>
    <w:rsid w:val="003E479A"/>
    <w:rsid w:val="00414CCB"/>
    <w:rsid w:val="004240D8"/>
    <w:rsid w:val="00446DD7"/>
    <w:rsid w:val="0045037D"/>
    <w:rsid w:val="004622B0"/>
    <w:rsid w:val="00470C38"/>
    <w:rsid w:val="00477EBE"/>
    <w:rsid w:val="004929DD"/>
    <w:rsid w:val="004965B7"/>
    <w:rsid w:val="004B333E"/>
    <w:rsid w:val="004D45CE"/>
    <w:rsid w:val="005228D3"/>
    <w:rsid w:val="00531FE7"/>
    <w:rsid w:val="0055219F"/>
    <w:rsid w:val="00556456"/>
    <w:rsid w:val="005776D2"/>
    <w:rsid w:val="00585057"/>
    <w:rsid w:val="005C25FF"/>
    <w:rsid w:val="005D0080"/>
    <w:rsid w:val="005E580B"/>
    <w:rsid w:val="005E5E7B"/>
    <w:rsid w:val="006035F9"/>
    <w:rsid w:val="00603CCC"/>
    <w:rsid w:val="00605C5A"/>
    <w:rsid w:val="00623804"/>
    <w:rsid w:val="00637EC1"/>
    <w:rsid w:val="0064370E"/>
    <w:rsid w:val="00645A0E"/>
    <w:rsid w:val="00647DDF"/>
    <w:rsid w:val="00660428"/>
    <w:rsid w:val="00660437"/>
    <w:rsid w:val="00692FC1"/>
    <w:rsid w:val="0069387C"/>
    <w:rsid w:val="00697B1F"/>
    <w:rsid w:val="006A5F02"/>
    <w:rsid w:val="006C6FE4"/>
    <w:rsid w:val="006D64CC"/>
    <w:rsid w:val="006F1E57"/>
    <w:rsid w:val="007350FC"/>
    <w:rsid w:val="00764B5C"/>
    <w:rsid w:val="007A513D"/>
    <w:rsid w:val="007B44A9"/>
    <w:rsid w:val="007D605C"/>
    <w:rsid w:val="007E3ED4"/>
    <w:rsid w:val="007E4829"/>
    <w:rsid w:val="008106E5"/>
    <w:rsid w:val="00816613"/>
    <w:rsid w:val="008270BA"/>
    <w:rsid w:val="0084701D"/>
    <w:rsid w:val="00851163"/>
    <w:rsid w:val="00865B9A"/>
    <w:rsid w:val="008905D1"/>
    <w:rsid w:val="00894798"/>
    <w:rsid w:val="008D6287"/>
    <w:rsid w:val="008E339B"/>
    <w:rsid w:val="008F1DCB"/>
    <w:rsid w:val="008F5EC1"/>
    <w:rsid w:val="0093066B"/>
    <w:rsid w:val="00950B97"/>
    <w:rsid w:val="009656B6"/>
    <w:rsid w:val="00966B3E"/>
    <w:rsid w:val="009778D7"/>
    <w:rsid w:val="00977ACC"/>
    <w:rsid w:val="009A277F"/>
    <w:rsid w:val="009E53B1"/>
    <w:rsid w:val="009F21E1"/>
    <w:rsid w:val="00A20F51"/>
    <w:rsid w:val="00A36A41"/>
    <w:rsid w:val="00A36A6D"/>
    <w:rsid w:val="00A4108C"/>
    <w:rsid w:val="00A56011"/>
    <w:rsid w:val="00A615FF"/>
    <w:rsid w:val="00A8644C"/>
    <w:rsid w:val="00AA5F36"/>
    <w:rsid w:val="00AB5FC3"/>
    <w:rsid w:val="00AB662E"/>
    <w:rsid w:val="00AD656D"/>
    <w:rsid w:val="00AE551C"/>
    <w:rsid w:val="00B164BD"/>
    <w:rsid w:val="00B21580"/>
    <w:rsid w:val="00B21B03"/>
    <w:rsid w:val="00B21D24"/>
    <w:rsid w:val="00B41640"/>
    <w:rsid w:val="00B449F1"/>
    <w:rsid w:val="00B72CBD"/>
    <w:rsid w:val="00B870C1"/>
    <w:rsid w:val="00BA0806"/>
    <w:rsid w:val="00BC2311"/>
    <w:rsid w:val="00BD75FE"/>
    <w:rsid w:val="00BF654A"/>
    <w:rsid w:val="00C4244C"/>
    <w:rsid w:val="00C4253F"/>
    <w:rsid w:val="00C46413"/>
    <w:rsid w:val="00C73B40"/>
    <w:rsid w:val="00C77250"/>
    <w:rsid w:val="00C9593E"/>
    <w:rsid w:val="00CA0ED5"/>
    <w:rsid w:val="00CA4841"/>
    <w:rsid w:val="00CE17B3"/>
    <w:rsid w:val="00D03D42"/>
    <w:rsid w:val="00D240B1"/>
    <w:rsid w:val="00D2472D"/>
    <w:rsid w:val="00D46D8E"/>
    <w:rsid w:val="00D64AD9"/>
    <w:rsid w:val="00D75535"/>
    <w:rsid w:val="00D77E31"/>
    <w:rsid w:val="00D961EE"/>
    <w:rsid w:val="00DA692F"/>
    <w:rsid w:val="00DA7D4C"/>
    <w:rsid w:val="00DB6395"/>
    <w:rsid w:val="00DC622F"/>
    <w:rsid w:val="00DC647E"/>
    <w:rsid w:val="00DD3CC7"/>
    <w:rsid w:val="00DD517B"/>
    <w:rsid w:val="00DD62AC"/>
    <w:rsid w:val="00DD7D70"/>
    <w:rsid w:val="00DF6567"/>
    <w:rsid w:val="00DF7E42"/>
    <w:rsid w:val="00E00A80"/>
    <w:rsid w:val="00E07770"/>
    <w:rsid w:val="00E11C11"/>
    <w:rsid w:val="00E37173"/>
    <w:rsid w:val="00E65C79"/>
    <w:rsid w:val="00E72659"/>
    <w:rsid w:val="00EB01BB"/>
    <w:rsid w:val="00EB7491"/>
    <w:rsid w:val="00ED6A9B"/>
    <w:rsid w:val="00EF6BA9"/>
    <w:rsid w:val="00F04A48"/>
    <w:rsid w:val="00F10A6F"/>
    <w:rsid w:val="00F213AA"/>
    <w:rsid w:val="00F2604C"/>
    <w:rsid w:val="00F263B6"/>
    <w:rsid w:val="00F44C5D"/>
    <w:rsid w:val="00F720E5"/>
    <w:rsid w:val="00FB313D"/>
    <w:rsid w:val="00FC643D"/>
    <w:rsid w:val="00FE4D87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C40D894-7D31-4E52-AE1E-3FB8987A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39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D62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62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62A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07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FCB"/>
  </w:style>
  <w:style w:type="paragraph" w:styleId="Footer">
    <w:name w:val="footer"/>
    <w:basedOn w:val="Normal"/>
    <w:link w:val="FooterChar"/>
    <w:uiPriority w:val="99"/>
    <w:unhideWhenUsed/>
    <w:rsid w:val="00107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FCB"/>
  </w:style>
  <w:style w:type="character" w:styleId="Hyperlink">
    <w:name w:val="Hyperlink"/>
    <w:basedOn w:val="DefaultParagraphFont"/>
    <w:uiPriority w:val="99"/>
    <w:unhideWhenUsed/>
    <w:rsid w:val="004D45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8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0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F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F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F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aa.ac.uk/assuring-standards-and-quality/the-quality-code/quality-code-part-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6705-C3CC-4BD0-A2C3-E0D757E1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4531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University</Company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Driver</dc:creator>
  <cp:lastModifiedBy>Jernej Mozic</cp:lastModifiedBy>
  <cp:revision>2</cp:revision>
  <cp:lastPrinted>2016-10-25T15:42:00Z</cp:lastPrinted>
  <dcterms:created xsi:type="dcterms:W3CDTF">2018-08-22T13:48:00Z</dcterms:created>
  <dcterms:modified xsi:type="dcterms:W3CDTF">2018-08-22T13:48:00Z</dcterms:modified>
</cp:coreProperties>
</file>